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9A" w:rsidRDefault="00EF599A" w:rsidP="00EF599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2000250" cy="1983105"/>
            <wp:effectExtent l="0" t="0" r="0" b="0"/>
            <wp:wrapSquare wrapText="bothSides"/>
            <wp:docPr id="9" name="Рисунок 9" descr="н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br w:type="textWrapping" w:clear="all"/>
      </w:r>
    </w:p>
    <w:p w:rsidR="00EF599A" w:rsidRDefault="00EF599A" w:rsidP="00EF599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Информационный бюллетень</w:t>
      </w:r>
    </w:p>
    <w:p w:rsidR="00EF599A" w:rsidRDefault="00EF599A" w:rsidP="00EF599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№ 5</w:t>
      </w:r>
    </w:p>
    <w:p w:rsidR="00EF599A" w:rsidRDefault="00EF599A" w:rsidP="00EF599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Регионального отраслевого объединения работодателей</w:t>
      </w:r>
    </w:p>
    <w:p w:rsidR="00EF599A" w:rsidRDefault="00EF599A" w:rsidP="00EF599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Ассоциации организаций жилищно-коммунального хозяйства Орловской области.</w:t>
      </w:r>
    </w:p>
    <w:p w:rsidR="00EF599A" w:rsidRDefault="00EF599A" w:rsidP="00EF599A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май 2023 г.</w:t>
      </w:r>
    </w:p>
    <w:p w:rsidR="00EF599A" w:rsidRDefault="00EF599A" w:rsidP="00EF599A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  <w:t>Содержание:</w:t>
      </w:r>
    </w:p>
    <w:p w:rsidR="00EF599A" w:rsidRDefault="00EF599A" w:rsidP="00EF599A">
      <w:pPr>
        <w:pStyle w:val="a3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Главные новости отрасли ЖКХ</w:t>
      </w:r>
    </w:p>
    <w:p w:rsidR="00EF599A" w:rsidRDefault="00EF599A" w:rsidP="00EF59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Всегда ли долг УО перед РСО – нарушение лицензионных требований</w:t>
      </w:r>
    </w:p>
    <w:p w:rsidR="00EF599A" w:rsidRDefault="00EF599A" w:rsidP="00EF599A">
      <w:pPr>
        <w:pStyle w:val="a3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Эксперт поделилась опытом по актуализации реестра собственников</w:t>
      </w:r>
    </w:p>
    <w:p w:rsidR="00EF599A" w:rsidRDefault="00EF599A" w:rsidP="00EF59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Должны ли УО переоборудовать подвалы в бомбоубежища и за чей счёт</w:t>
      </w:r>
    </w:p>
    <w:p w:rsidR="00EF599A" w:rsidRDefault="00EF599A" w:rsidP="00EF599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Три законопроекта в ЖКХ и их значение для УО: разъясняет эксперт</w:t>
      </w:r>
    </w:p>
    <w:p w:rsidR="00EF599A" w:rsidRDefault="00EF599A" w:rsidP="00EF599A">
      <w:pPr>
        <w:pStyle w:val="a3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Как управляющей компании отразить в бухучете ремонт дома</w:t>
      </w:r>
    </w:p>
    <w:p w:rsidR="00EF599A" w:rsidRDefault="00EF599A" w:rsidP="00EF599A">
      <w:pPr>
        <w:pStyle w:val="a3"/>
        <w:numPr>
          <w:ilvl w:val="0"/>
          <w:numId w:val="1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Сроки давности привлечения УО, ТСЖ, ЖСК к административной ответственности</w:t>
      </w:r>
    </w:p>
    <w:p w:rsidR="00EF599A" w:rsidRDefault="00EF599A" w:rsidP="00EF599A"/>
    <w:p w:rsidR="00EF599A" w:rsidRDefault="00EF599A" w:rsidP="00EF599A">
      <w:p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lastRenderedPageBreak/>
        <w:t xml:space="preserve">1.  Главные </w:t>
      </w:r>
      <w:proofErr w:type="spellStart"/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ровости</w:t>
      </w:r>
      <w:proofErr w:type="spellEnd"/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отрасли ЖКХ: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- Депутаты нашли решение для домов, УО которых не продлили лицензии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 3 марта 2023 года проходит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перелицензирование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управляющих организаций, но многие вопросы по процессу пока так и не решены. Один из них – кто будет работать в доме, если УО получит отказ в продлении лицензии. Депутаты разработали проект изменений в ЖК РФ, чтобы устранить этот правовой пробел.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Перелицензирование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УО должно было пройти осенью 2022 года, но из-за отсутствия правового регулирования его перенесли на весну 2023 года (Федеральный закон от 21.11.2022 № 463-ФЗ). За это время Минстрой РФ должен был разработать регламент проведения проверок в рамках продления лицензий, в том числе прописать, кто будет управлять МКД, если компания получит отказ. К рестарту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перелицензирования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ведомство так и не приняло соответствующих документов. Минстрой РФ направил в органы власти установку проводить проверки УО «в рамках разумного»: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продлевать лицензии в плановом режиме и с учётом возможных рисков, чтобы «исключить случаи оставления МКД без управления» (письмо Минстроя РФ от 17.01.2023 № 1833-АЕ/04).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Для таких случаев депутаты Госдумы РФ предложили своё решение и разработали законопроект № 321568-8 с изменениями в ч. 3 ст. 199 ЖК РФ. Организации, которые не продлят лицензии, продолжат управлять МКД в соответствии со ст. 200 ЖК РФ до момента: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смены способа управления домом и выбора новой компании на ОСС, проведения конкурса, назначения временной УО. «Я и ранее во время выступлений говорила, что УО продолжат управлять домами, пока не будет решена судьба дома, несмотря на то что в ЖК РФ не было такого варианта развития», – прокомментировала документ исполнительный директор Ассоциации «Р1»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Парсамян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– «Теперь это закрепят на законодательном уровне, что очень хорошо – ещё одна точка в обсуждениях будет поставлена». Следите за новостями на портале и читайте, что УО учесть из опыта коллег, которые продлевали лицензии осенью 2022 года.</w:t>
      </w:r>
    </w:p>
    <w:p w:rsidR="00EF599A" w:rsidRDefault="00EF599A" w:rsidP="00EF599A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 xml:space="preserve"> Скорректированы правила предоставления коммунальных услуг</w:t>
      </w:r>
    </w:p>
    <w:p w:rsidR="00EF599A" w:rsidRDefault="00EF599A" w:rsidP="00EF599A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EF599A" w:rsidRDefault="00EF599A" w:rsidP="00EF599A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Правительство РФ, на основании указаний Верховного суда РФ из апелляционного определения от 01.09.2022 № АПЛ22-283, внесло изменения в Правила № 354 в части подтверждения поверки приборов учета.</w:t>
      </w:r>
    </w:p>
    <w:p w:rsidR="00EF599A" w:rsidRDefault="00EF599A" w:rsidP="00EF599A">
      <w:pPr>
        <w:spacing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86DAA"/>
          <w:sz w:val="24"/>
          <w:szCs w:val="24"/>
          <w:lang w:eastAsia="ru-RU"/>
        </w:rPr>
        <w:t>20.04.2023</w:t>
      </w:r>
    </w:p>
    <w:p w:rsidR="00EF599A" w:rsidRDefault="00EF599A" w:rsidP="00EF59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Согласно Постановлению Правительства РФ от 12.04.2023 № 588 «О внесении изменений в Правила предоставления коммунальных услуг собственникам и пользователям помещений в многоквартирных домах и жилых домов», из Правил № 354 исключено требование о предоставлении собственником жилого или нежилого помещения копии свидетельства о поверке ИПУ.</w:t>
      </w:r>
    </w:p>
    <w:p w:rsidR="00EF599A" w:rsidRDefault="00EF599A" w:rsidP="00EF59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Документ уже вступил в силу и распространяется на правоотношения, возникшие с 1 сентября 2022 года.</w:t>
      </w:r>
    </w:p>
    <w:p w:rsidR="00EF599A" w:rsidRDefault="00EF599A" w:rsidP="00EF599A">
      <w:p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096000" cy="5543550"/>
            <wp:effectExtent l="0" t="0" r="0" b="0"/>
            <wp:docPr id="8" name="Рисунок 8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9A" w:rsidRDefault="00EF599A" w:rsidP="00EF599A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2250" cy="5429250"/>
            <wp:effectExtent l="0" t="0" r="0" b="0"/>
            <wp:docPr id="7" name="Рисунок 7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9A" w:rsidRDefault="00EF599A" w:rsidP="00EF599A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- Правительство разрешило потребителям не подтверждать поверку ИПУ</w:t>
      </w:r>
    </w:p>
    <w:p w:rsidR="00EF599A" w:rsidRDefault="00EF599A" w:rsidP="00EF599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апреля опубликовали </w:t>
      </w:r>
      <w:hyperlink r:id="rId8" w:anchor="/document/97/506098/" w:tgtFrame="_self" w:history="1"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постановление Правительства № 588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которое упразднило порядок подтверждения поверки ИПУ жителями. Теперь предоставлять подтверждающие документы – это право, а не обязанность потребителя. Постановление вступило в силу с момента публикации, но сами изменения распространяются на правоотношения, которые возникли с 1 сентября 2022 года.</w:t>
      </w:r>
    </w:p>
    <w:p w:rsidR="00EF599A" w:rsidRDefault="00EF599A" w:rsidP="00EF599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Ранее Верховный суд признал </w:t>
      </w:r>
      <w:hyperlink r:id="rId9" w:anchor="/document/99/902280037/XA00M782MO/" w:tgtFrame="_self" w:history="1"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подпункт «д»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пункта 34 Правил предоставления коммунальных услуг не соответствующим Закону об обеспечении единства измерений (</w:t>
      </w:r>
      <w:hyperlink r:id="rId10" w:anchor="/document/96/351745433/" w:tgtFrame="_self" w:history="1"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апелляционное определении Верховного суда от 01.09.2022 № АПЛ22-283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Суд разъяснил, что результаты поверки подтверждают сведениями о результатах поверки в Фонде по обеспечению единства измерений, а не свидетельством о поверке. Свидетельство носит факультативный характер, его выдают лишь по заявлению владельца средства измерения. Теперь изменения официально внесли в </w:t>
      </w:r>
      <w:hyperlink r:id="rId11" w:anchor="/document/99/902280037/" w:tgtFrame="_self" w:history="1"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Правила № 354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F599A" w:rsidRDefault="00EF599A" w:rsidP="00EF599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Так, потребитель не обязан:</w:t>
      </w:r>
    </w:p>
    <w:p w:rsidR="00EF599A" w:rsidRDefault="00EF599A" w:rsidP="00EF599A">
      <w:pPr>
        <w:numPr>
          <w:ilvl w:val="0"/>
          <w:numId w:val="2"/>
        </w:numPr>
        <w:spacing w:after="103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направлять исполнителю копию свидетельства или другого документа о результатах поверки прибора учета;</w:t>
      </w:r>
    </w:p>
    <w:p w:rsidR="00EF599A" w:rsidRDefault="00EF599A" w:rsidP="00EF599A">
      <w:pPr>
        <w:numPr>
          <w:ilvl w:val="0"/>
          <w:numId w:val="2"/>
        </w:numPr>
        <w:spacing w:after="103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прилагать к заявке на ввод ИПУ в эксплуатацию копии документов, подтверждающих результаты последней поверки.</w:t>
      </w:r>
    </w:p>
    <w:p w:rsidR="00EF599A" w:rsidRDefault="00EF599A" w:rsidP="00EF599A">
      <w:p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</w:t>
      </w:r>
    </w:p>
    <w:p w:rsidR="00EF599A" w:rsidRDefault="00EF599A" w:rsidP="00EF599A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 xml:space="preserve">- Приняты изменения в порядок установки приборов учёта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>электроэнерги</w:t>
      </w:r>
      <w:proofErr w:type="spellEnd"/>
    </w:p>
    <w:p w:rsidR="00EF599A" w:rsidRDefault="00EF599A" w:rsidP="00EF599A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EF599A" w:rsidRDefault="00EF599A" w:rsidP="00EF599A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Подписанные Президентом РФ нововведения касаются уточнения и дополнения перечня объектов, не подлежащих оснащению приборами учета используемых энергетических ресурсов.</w:t>
      </w:r>
    </w:p>
    <w:p w:rsidR="00EF599A" w:rsidRDefault="00EF599A" w:rsidP="00EF599A">
      <w:pPr>
        <w:spacing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86DAA"/>
          <w:sz w:val="24"/>
          <w:szCs w:val="24"/>
          <w:lang w:eastAsia="ru-RU"/>
        </w:rPr>
        <w:t>20.04.2023</w:t>
      </w:r>
    </w:p>
    <w:p w:rsidR="00EF599A" w:rsidRDefault="00EF599A" w:rsidP="00EF59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Изменения действуют на основании Федеральный закон от 14.04.2023 № 133-ФЗ «О внесении изменения в статью 13 Федерального закона "Об энергосбережении и о повышении 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энергетической эффективности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Федерации».</w:t>
      </w:r>
    </w:p>
    <w:p w:rsidR="00EF599A" w:rsidRDefault="00EF599A" w:rsidP="00EF59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1172845</wp:posOffset>
                </wp:positionV>
                <wp:extent cx="1209675" cy="3695700"/>
                <wp:effectExtent l="19050" t="0" r="28575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95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4CF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3in;margin-top:92.35pt;width:95.25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" adj="18065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Новые правила относятся к многоквартирным домам, включенным в региональную программу капитального ремонта до дня вступления в силу принятых изменений.</w:t>
      </w:r>
    </w:p>
    <w:p w:rsidR="00EF599A" w:rsidRDefault="00EF599A" w:rsidP="00EF59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10375" cy="8620125"/>
            <wp:effectExtent l="0" t="0" r="9525" b="9525"/>
            <wp:docPr id="6" name="Рисунок 6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9A" w:rsidRDefault="00EF599A" w:rsidP="00EF599A">
      <w:pPr>
        <w:spacing w:after="150" w:line="240" w:lineRule="auto"/>
        <w:jc w:val="both"/>
        <w:rPr>
          <w:rFonts w:ascii="RobotoRegular" w:eastAsia="Times New Roman" w:hAnsi="RobotoRegular" w:cs="Times New Roman"/>
          <w:color w:val="212121"/>
          <w:sz w:val="24"/>
          <w:szCs w:val="24"/>
          <w:lang w:eastAsia="ru-RU"/>
        </w:rPr>
      </w:pPr>
      <w:r>
        <w:rPr>
          <w:rFonts w:ascii="RobotoRegular" w:eastAsia="Times New Roman" w:hAnsi="RobotoRegular" w:cs="Times New Roman"/>
          <w:color w:val="212121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EF599A" w:rsidRDefault="00EF599A" w:rsidP="00EF599A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5943600</wp:posOffset>
                </wp:positionV>
                <wp:extent cx="1343025" cy="2987675"/>
                <wp:effectExtent l="19050" t="0" r="47625" b="4127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8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692F" id="Стрелка вниз 11" o:spid="_x0000_s1026" type="#_x0000_t67" style="position:absolute;margin-left:210pt;margin-top:468pt;width:105.75pt;height:2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" adj="16745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715125" cy="6562725"/>
            <wp:effectExtent l="0" t="0" r="9525" b="9525"/>
            <wp:docPr id="5" name="Рисунок 5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9A" w:rsidRDefault="00EF599A" w:rsidP="00EF599A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67500" cy="9124950"/>
            <wp:effectExtent l="0" t="0" r="0" b="0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9A" w:rsidRDefault="00EF599A" w:rsidP="00EF599A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67500" cy="5772150"/>
            <wp:effectExtent l="0" t="0" r="0" b="0"/>
            <wp:docPr id="3" name="Рисунок 3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9A" w:rsidRDefault="00EF599A" w:rsidP="00EF599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EF599A" w:rsidRDefault="00EF599A" w:rsidP="00EF59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Всегда ли долг УО перед РСО – нарушение лицензионных требований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Задолженность УО перед поставщиками ресурсов – это грубое нарушение лицензионных требований, за которое она может лишиться права управлять домами. В судебной практике есть примеры, когда компаниям удавалось доказать, что наличие такого долга не всегда нарушение. Читайте обзор одного из таких дел.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Из-за задолженности перед РСО компания может остаться без лицензии С 3 марта 20223 года возобновилось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перелицензирование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управляющих организаций.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Органы ГЖН после получения заявления должны проверить работы компании, в том числе на соблюдение лицензионных требований. Их перечень представлен в ст. ст. 161, 162, 193 ЖК РФ. В рамках процесса продления лицензий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Госжилинспекция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проверяет УО: </w:t>
      </w:r>
    </w:p>
    <w:p w:rsidR="00EF599A" w:rsidRDefault="00EF599A" w:rsidP="00EF59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соответствие требованиям, предусмотренным п. п. 1–6.1 ч. 1 ст. 193 ЖК РФ; </w:t>
      </w:r>
    </w:p>
    <w:p w:rsidR="00EF599A" w:rsidRDefault="00EF599A" w:rsidP="00EF59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отсутствие грубых нарушений лицензионных требований, предусмотренных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«в–д» п. 4(1) ПП РФ № 1110; </w:t>
      </w:r>
    </w:p>
    <w:p w:rsidR="00EF599A" w:rsidRDefault="00EF599A" w:rsidP="00EF59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отсутствие неисполненных предписаний об их устранении с истёкшим сроком выполнения.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этих требований – отсутствие долгов перед РСО. Разберём дело, в котором суд указал, что такая задолженность не всегда является нарушением обязательных требований.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Орган ГЖН считает, что подтверждённая задолженность перед РСО – всегда нарушение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Компания по вывозу отходов сообщила в ГЖИ, что у одной из управляющих организаций города накопились долги, и они подтверждены судом. Государственная жилищная инспекция посчитала, что вступивший в силу судебный акт свидетельствует о нарушении управляющей организацией лицензионного требования по расчётам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регоператором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(ч. 2 ст. 14.1.3 КоАП РФ,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«б» п. 3 Положения № 1110). Ведомство оштрафовало УО на 120 000 рублей по ч. 2 ст. 14.1.3 КоАП РФ, но организация не согласилась с выводами надзорного органа и направила иск в суд, чтобы оспорить предписание (дело № А62-2157/2022).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Суд: погашение задолженности перед РСО не является лицензионным требованием к УО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Первая инстанция указала, что ГЖИ при выдаче предписания допустила ошибку, так как факт нарушения УО требований к осуществлению расчётов не был установлен (ч. 1 ст. 14.1.3 КоАП РФ,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«ж» п. 4 Правил № 416). В соответствии с ч. 1 ст. 1.6 КоАП РФ, организацию не могут привлечь к административной ответственности, которая не установлена законом. У управляющей организации образовался долг перед рег. оператором за оказанные услуги, но это не нарушает требования по осуществлению расчётов. Арбитражный суд отметил, что наличие задолженности не подтверждает несоблюдение требований, которые предъявляются к порядку расчётов. Погашение задолженности за поставленные ресурсы не является лицензионным требованием, и орган ГЖН не вправе требовать от компании оплатить долг (ч. ч. 1, 2 ст. 192 ЖК РФ).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Арбитражный суд пришёл к выводу, что УО не нарушала требования по управлению многоквартирными домами, и отменил постановление ГЖИ. Апелляция эту позицию поддержала.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УО нужно доказать, что задолженность не является результатом её бездействия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К похожим выводам пришли суды, разбиравшие дело № А72-14972/2021. Они указали, что наличие долга перед РСО не всегда является нарушением со стороны УО.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 Гос. Жил. надзора при проверке должен установить, есть ли вина компании в том, что не все счета от РСО оплачены. УО в суде доказала, что задолженность образовалась из-за потребителей-неплательщиков, а она вела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претензионно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-исковую работу в соответствии с лицензионными требованиями: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информировала жителей МКД о правилах и сроках оплаты ЖКУ и о последствиях за их нарушение; уведомляла о наличии долга;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начисляла пени в соответствии с ч. 14 ст. 155 ЖК РФ;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вводила ограничение коммунальных услуг согласно Правилам № 354;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взыскивала долги.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Суд согласился с позицией УО, признав, что она сделала всё, что от неё зависело, чтобы собрать с потребителей плату за жилищно-коммунальные услуги, а затем перечислить её поставщикам ресурсов.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Орган ГЖН при проверке должен был установить не только наличие задолженности компании перед РСО, но и причину её образования. Подобное решение приняли суды и в разобранном выше деле № А62-2157/2022, указав, что надзорный орган не доказал, что долг возник из-за нарушений УО, допущенных при расчётах с РСО. Управляющим организациям следует иметь в виду такую позицию судов и вести работу с должниками, фиксируя её этапы. Тогда в случае обращения в суд из-за задолженности перед РСО компания сможет доказать отсутствие в ситуации её вины. А это возможность отменить предписание о нарушении лицензионных требований и сохранить лицензию.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3.</w:t>
      </w: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Эксперт поделилась опытом по актуализации реестра собственников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 условиях, когда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перестал включать в выписки из ЕГРН персональные данные собственников помещений, управляющие домами и исполнители ЖКУ ищут различные способы получения сведений о потребителях. Исполнительный директор Ассоциации «Р1»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Парсамян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поделилась своим кейсом по актуализации данных в реестре.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Ранее любое лицо могло заказать выписку из ЕГРН на объект недвижимости и узнать правообладателя. С 1 марта 2023 года получить такие сведения из реестра без согласия владельцев помещений – физических лиц невозможно из-за вступившей в силу нормы № 266-ФЗ.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Это ограничило возможности УО и ТСЖ для актуализации реестров собственников, которые они обязаны вести в соответствии с ч. 3.1 ст. 45 ЖК РФ. Законодатели, управляющие домами и эксперты ищут различные способы решения проблемы.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Так, Минстрой РФ предлагает реализовать доступ к данным собственников через ГИС ЖКХ. Также принят Федеральный закон от 18.03.2023 № 80-ФЗ о том, что взыскать долги можно и с анонимного неплательщика – суд сам запросит данные в органах власти.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Исполнительный директор Ассоциации «Р1»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Парсамян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своём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-канале поделилась кейсом по обновлению данных о жителях МКД. В выписках из ЕГРН, которые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выдаёт с 1 марта, по-прежнему указываются данные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юрлицо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владельца помещения. Если собственник – физическое лицо, то данные скрыты.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«Если их несколько – пишется "физическое лицо" столько раз, сколько собственников в помещении есть», – отметила эксперт. – «Сведения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 скрыты».</w:t>
      </w:r>
    </w:p>
    <w:p w:rsidR="00EF599A" w:rsidRDefault="00EF599A" w:rsidP="00EF5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648450" cy="1876425"/>
            <wp:effectExtent l="0" t="0" r="0" b="9525"/>
            <wp:docPr id="2" name="Рисунок 2" descr="https://lh4.googleusercontent.com/9C20CSeGYaAWkSn_eoYluJ9kNa1y-hMJUgdOyS_9IRQEQBP3CdXQQ-CxcPB6Xj4P2ZsBRY2RiOJCfito2t1pm_L2V8Z05_cKXuvWjd_vYpFJ63IjbvUmjLqf1xF6JW06zIOkJLZ9WyRPS7nCcy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lh4.googleusercontent.com/9C20CSeGYaAWkSn_eoYluJ9kNa1y-hMJUgdOyS_9IRQEQBP3CdXQQ-CxcPB6Xj4P2ZsBRY2RiOJCfito2t1pm_L2V8Z05_cKXuvWjd_vYpFJ63IjbvUmjLqf1xF6JW06zIOkJLZ9WyRPS7nCcy4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данных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Парсамян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Для актуализации данных о владельцах помещений нужно: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Заказать выписки.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Сверить информацию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права.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Если данные сходятся, то их можно оставить в новом реестре, они актуальны. Если же сведения устарели, то нужно точечно отработать эти случаи. Узнайте о 15+ способах получить персональные данные собственников от экспертов Ассоциации «Р1».</w:t>
      </w:r>
    </w:p>
    <w:p w:rsidR="00EF599A" w:rsidRDefault="00EF599A" w:rsidP="00EF599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Должны ли УО переоборудовать подвалы в бомбоубежища и за чей счёт</w:t>
      </w:r>
    </w:p>
    <w:p w:rsidR="00EF599A" w:rsidRDefault="00EF599A" w:rsidP="00EF599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Органы власти западных регионов России требуют от УО, ТСЖ и кооперативов за счёт жителей привести в порядок подвалы МКД и оборудовать в них бомбоубежища. Вместе с экспертами Ассоциации «Р1» разобрались, обязаны ли управляющие домами выполнять такие требования и за чей счёт.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УО и ТСЖ в регионах получают требования органов власти переоборудовать подвалы в бомбоубежища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В городе Иванове управляющие МКД получили от муниципалитета официальные письма о подготовке подвальных помещений МКД к укрытию населения в военное время. Органы власти поручили УО и ТСЖ организовать осмотр подвалов и составить инвентаризационную ведомость, чтобы управление МЧС составило реестр таких укрытий. При этом, как отметила Светлана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Межирицкая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член Экспертного совета Ассоциации «Р1» и председатель ТСЖ «Флагман» из г. Иванова, изначально говорилось о муниципальном финансировании работ по организации бомбоубежищ.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Но затем органы власти рекомендовали управляющим домами проводить в МКД общие собрания, чтобы собственники утвердили проведение работ за счёт средств на содержание и ремонт общего имущества.</w:t>
      </w:r>
    </w:p>
    <w:p w:rsidR="00EF599A" w:rsidRDefault="00EF599A" w:rsidP="00EF5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7025" cy="4438650"/>
            <wp:effectExtent l="0" t="0" r="9525" b="0"/>
            <wp:docPr id="1" name="Рисунок 1" descr="https://lh6.googleusercontent.com/cjAb3YyOXm9JP2PcXpPyuMeLqVQI3NZY17wlvpV4PHelk5r8bcJiTSUeUNC7FcCZNMHF2rlWQqD0fgXZyJ-GcqEkWLFWjRTvEaK_pdc5A_Tn3WgHyOoZaurTmWz3zmSznMxFG4zWMDaX02tbVA6W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lh6.googleusercontent.com/cjAb3YyOXm9JP2PcXpPyuMeLqVQI3NZY17wlvpV4PHelk5r8bcJiTSUeUNC7FcCZNMHF2rlWQqD0fgXZyJ-GcqEkWLFWjRTvEaK_pdc5A_Tn3WgHyOoZaurTmWz3zmSznMxFG4zWMDaX02tbVA6Wv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9A" w:rsidRDefault="00EF599A" w:rsidP="00EF59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протокола служебного совещания с представителями организаций, управляющих многоквартирными домами города Иванова, от 09.02.2023 № 2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этом пишет и городской портал г. Иванова: «Все работы будут проводиться за счёт самих жильцов. Учитывая, что большинство подвалов не предназначены для бомбоубежищ совсем, речь может идти о масштабной реконструкции стоимостью в несколько миллионов рублей». Управляющие домами должны: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очистить подвалы от мусора, провести дополнительное освещение, подготовить аварийный выход и повесить таблички «Укрытие» или «Бомбоубежище»;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закрыть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загерметизировать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воздухозаборные и вытяжные отверстия и воздуховоды вентиляции; установить отопительные приборы, туалеты, пожарный щит, контейнер для мусора и нары.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Подобная ситуация сложилась не только в г. Иванове, но и в других регионах России: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Краснодарском крае ГЖИ разослала управляющим организациям, ТСЖ и кооперативам требование «привести в порядок подвалы многоквартирных домов».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Губернатор Ростовской области Василий Голубев поручил УО подготовить подвалы многоквартирных домов к укрытию жителей при возникновении чрезвычайных ситуаций.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Смоленске органы власти также решили переоборудовать подвалы многоквартирных домов во временные бомбоубежища.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Обязательные работы по содержанию и ремонту подвалов зафиксированы в Правилах № 491 и 170 и Перечне № 290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 подобных требованиях к УО в своём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-канале рассказала и глава Экспертного совета Ассоциации «Р1» 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Шерешовец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«Все больше управляющих организаций пишет мне о том, что их заставляют переоборудовать подвалы в бомбоубежища и просят это прокомментировать», – отметила эксперт. Она отметила, что УО обязаны обслуживать подвалы за счёт платы, которую вносят собственники за содержание и ремонт общего имущества согласно ч. 1 ст. 161 ЖК РФ: подвальные помещения должны быть сухими, чистыми, иметь освещение и вентиляцию (п. 4.1.3 Правил № 170). В соответствии с п. 2 Минимального перечня № 290, в него входят работы, выполняемые в зданиях с подвалами: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проверка температурно-влажностного режима подвальных помещений;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при выявлении нарушений – устранение причин;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проверка состояния подвалов, входов и приямков;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принятие мер, исключающих подтопление, захламление, загрязнение и загромождение таких помещений;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контроль за состоянием дверей подвалов и технических подполий, запорных устройств на них, устранение выявленных неисправностей.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В соответствии со ст. 9.1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2.1.2.2645-10, при эксплуатации жилых зданий не допускаются захламление, загрязнение и затопление подвалов и технических подполий, лестничных пролетов и клеток, чердаков.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«Всё это УО должны выполнять в любом случае. За счёт тарифа», – сделала вывод 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Шерешовец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 – «Вот все остальные пожелания – либо за счёт бюджета, либо за счёт собственников помещений».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Работы по содержанию подвалов, которых нет в жилищных НПА, выполняются за счёт бюджета или по решению ОСС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Если управляющая организация или ТСЖ получили требование от органа власти организовать в подвале дома бомбоубежище, то, по мнению Елены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Шерешовец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сначала нужно уточнить источник финансирования таких работ: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«Если за счёт жильцов [...], то только при чётко выраженном решении общего собрания с конкретикой по стоимости и срокам. Но я пока про реальные случаи переоборудования не слышала. Только про проверки, что подвалы не захламлены, это как раз нормально», – отметила эксперт. В обсуждении темы приняли участие и другие члены Экспертного совета Ассоциации «Р1». Например, Ольга Беленькая считает, что такие требования чаще всего предъявляют к УО и ТСЖ, работающим в регионах, где введён повышенный уровень опасности (Указ Президента РФ от 19.10.2022 № 757). «Мы, ссылаясь на Правила эксплуатации защитных сооружений гражданской обороны [...] от 15.12.2002 № 583, указывали, что ЗС ГО [защитные сооружения гражданской обороны – прим. ред.] отсутствуют, их учёт ведёт МЧС. УО отвечает за подвалы в рамках Правил № 170, 290, 491. Со ссылкой на ст. 8 № 28-ФЗ о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гражданской обороне указывали, что при необходимости оснащение подвалов минимальными условиями для размещения укрываемого населения (нары, туалеты, водоснабжение и т.д.) должно осуществляться за счёт средств муниципального или краевого бюджета. В плату за содержание данные затраты не включены. От приведения подвалов в соответствие с требованиями жилищного законодательства никуда не уйти: это надо делать,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чтобы от властей не было вопросов, собрания можно инициировать, указав, что сначала собственники оплачивают оснащение подвалов, а потом УО их оснащает». </w:t>
      </w:r>
    </w:p>
    <w:p w:rsidR="00EF599A" w:rsidRDefault="00EF599A" w:rsidP="00EF599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Три законопроекта в</w:t>
      </w: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en-US"/>
        </w:rPr>
        <w:t> </w:t>
      </w: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ЖКХ и</w:t>
      </w: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en-US"/>
        </w:rPr>
        <w:t> </w:t>
      </w: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их значение для</w:t>
      </w: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  <w:lang w:val="en-US"/>
        </w:rPr>
        <w:t> </w:t>
      </w: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УО: разъясняет эксперт</w:t>
      </w:r>
    </w:p>
    <w:p w:rsidR="00EF599A" w:rsidRDefault="00EF599A" w:rsidP="00EF599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В марте 2023 года в жилищные НПА внесены десятки изменений, но законодатели продолжают вносить и рассматривать новые инициативы в этой сфере. Вместе с Еленой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Шерешовец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узнайте, какие наиболее важные для УО и ТСЖ законопроекты находятся на рассмотрении Госдумы РФ и как они изменят правила работы по управлению МКД.</w:t>
      </w:r>
    </w:p>
    <w:p w:rsidR="00EF599A" w:rsidRDefault="00EF599A" w:rsidP="00EF599A">
      <w:pP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Законопроекты в сфере ЖКХ за I квартал 2023 года</w:t>
      </w:r>
    </w:p>
    <w:p w:rsidR="00EF599A" w:rsidRDefault="00EF599A" w:rsidP="00EF599A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Запрет на смену УО чаще одного раза в год и исключения из этого правила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 законопроекте № 201813-8, авторы предлагают запретить собственникам менять УО чаще раза в год. Сейчас владельцы помещений в МКД выбирают управляющую организацию на период от года до пяти лет, но при этом имеют право в любой момент провести ОСС и выбрать другую компанию.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Согласно документу, необходимо исключить такие ситуации и оставить собственникам право в любой момент сменить УО только в том случае, если она не выполняет условия договора управления.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«Законопроект хороший: это гарантия УО, что её не выгонят с дома в любой момент. Хотя года на самом деле мало, цикл технической эксплуатации за такой период невозможно ни реализовать, ни оценить, но давайте начнём хотя бы с одного года», – отметила 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Шерешовец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комментируя документ. – «Только нужно чётко прописать, что такое “невыполнение условий договора управления”. Пока этой чёткости в законопроекте нет».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Дезинфекция и дезинсекция – по лицензии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Вторая инициатива, о которой эксперт рассказала в выпуске онлайн-журнала, – законопроект № 265452–8 о включении услуг по дезинфекции, дезинсекции и дератизации в перечень лицензируемых видов деятельности.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«Эта деятельность попадает в разряд опасных: предусматривает обращение с опасными химическими веществами и ядами, может повлечь вред здоровью и жизни человека, при некачественной дезинфекции – риск распространения инфекционных заболеваний», – отметила 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Шерешовец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– «Но как только для дезинфекции понадобится лицензия, вид услуги подорожает».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При этом эксперт напомнила, что такие работы не входят в Минимальный перечень № 290, они дополнительные, и их должны утвердить собственники на общем собрании. Но, как показала практика весны 2020 года, органы власти могут нормативно-правовыми актами обязать УО и ТСЖ проводить дезинфекцию мест общего пользования в МКД и не указать источники финансирования таких работ. </w:t>
      </w:r>
    </w:p>
    <w:p w:rsidR="00EF599A" w:rsidRDefault="00EF599A" w:rsidP="00EF59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Эксперт привела примеры из судебной практики, когда управляющие домами смогли доказать, что не обязаны это делать без утверждения на ОСС (постановление Пятого АСС по делу № 59-2776/2020).</w:t>
      </w:r>
    </w:p>
    <w:p w:rsidR="00EF599A" w:rsidRDefault="00EF599A" w:rsidP="00EF599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206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u w:val="single"/>
          <w:shd w:val="clear" w:color="auto" w:fill="FFFFFF"/>
        </w:rPr>
        <w:t>Как управляющей компании отразить в бухучете ремонт дома</w:t>
      </w:r>
      <w:r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  <w:t>Состав общего имущества многоквартирного дома</w:t>
      </w:r>
    </w:p>
    <w:p w:rsidR="00EF599A" w:rsidRDefault="00EF599A" w:rsidP="00EF599A">
      <w:pPr>
        <w:spacing w:after="0" w:line="39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К общему имуществу многоквартирного дома (ремонт которого обеспечивает управляющая компания) относятся, в частности:</w:t>
      </w:r>
    </w:p>
    <w:p w:rsidR="00EF599A" w:rsidRDefault="00EF599A" w:rsidP="00EF599A">
      <w:pPr>
        <w:numPr>
          <w:ilvl w:val="0"/>
          <w:numId w:val="6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межквартирные лестничные площадки, лестницы;</w:t>
      </w:r>
    </w:p>
    <w:p w:rsidR="00EF599A" w:rsidRDefault="00EF599A" w:rsidP="00EF599A">
      <w:pPr>
        <w:numPr>
          <w:ilvl w:val="0"/>
          <w:numId w:val="6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лифты, лифтовые и иные шахты;</w:t>
      </w:r>
    </w:p>
    <w:p w:rsidR="00EF599A" w:rsidRDefault="00EF599A" w:rsidP="00EF599A">
      <w:pPr>
        <w:numPr>
          <w:ilvl w:val="0"/>
          <w:numId w:val="6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коридоры;</w:t>
      </w:r>
    </w:p>
    <w:p w:rsidR="00EF599A" w:rsidRDefault="00EF599A" w:rsidP="00EF599A">
      <w:pPr>
        <w:numPr>
          <w:ilvl w:val="0"/>
          <w:numId w:val="6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технические этажи;</w:t>
      </w:r>
    </w:p>
    <w:p w:rsidR="00EF599A" w:rsidRDefault="00EF599A" w:rsidP="00EF599A">
      <w:pPr>
        <w:numPr>
          <w:ilvl w:val="0"/>
          <w:numId w:val="6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чердаки;</w:t>
      </w:r>
    </w:p>
    <w:p w:rsidR="00EF599A" w:rsidRDefault="00EF599A" w:rsidP="00EF599A">
      <w:pPr>
        <w:numPr>
          <w:ilvl w:val="0"/>
          <w:numId w:val="6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подвалы, в которых имеются инженерные коммуникации;</w:t>
      </w:r>
    </w:p>
    <w:p w:rsidR="00EF599A" w:rsidRDefault="00EF599A" w:rsidP="00EF599A">
      <w:pPr>
        <w:numPr>
          <w:ilvl w:val="0"/>
          <w:numId w:val="6"/>
        </w:numPr>
        <w:spacing w:after="0" w:line="390" w:lineRule="atLeast"/>
        <w:ind w:left="270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иное обслуживающее более одного помещения в данном доме оборудование (технические подвалы):</w:t>
      </w: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 крыши, ограждающие несущие и ненесущие конструкции дома;</w:t>
      </w: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br/>
        <w:t>– механическое, электрическое, санитарно-техническое и иное оборудование, обслуживающее более одного помещения.</w:t>
      </w:r>
    </w:p>
    <w:p w:rsidR="00EF599A" w:rsidRDefault="00EF599A" w:rsidP="00EF599A">
      <w:pPr>
        <w:spacing w:after="0" w:line="39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Полный перечень общего имущества приведен в </w:t>
      </w:r>
      <w:hyperlink r:id="rId18" w:anchor="/document/99/901991977/ZA00M7M2MU/" w:tooltip="I. Определение состава общего имущества" w:history="1">
        <w:r>
          <w:rPr>
            <w:rStyle w:val="a4"/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lang w:eastAsia="ru-RU"/>
          </w:rPr>
          <w:t>разделе I</w:t>
        </w:r>
      </w:hyperlink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Правил, утвержденных </w:t>
      </w:r>
      <w:hyperlink r:id="rId19" w:anchor="/document/99/901991977/" w:history="1">
        <w:r>
          <w:rPr>
            <w:rStyle w:val="a4"/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lang w:eastAsia="ru-RU"/>
          </w:rPr>
          <w:t>постановлением Правительства РФ от 13 августа 2006 г. № 491</w:t>
        </w:r>
      </w:hyperlink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.</w:t>
      </w:r>
    </w:p>
    <w:p w:rsidR="00EF599A" w:rsidRDefault="00EF599A" w:rsidP="00EF599A">
      <w:pPr>
        <w:spacing w:before="600"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-1"/>
          <w:sz w:val="36"/>
          <w:szCs w:val="36"/>
          <w:u w:val="single"/>
          <w:lang w:eastAsia="ru-RU"/>
        </w:rPr>
        <w:t>Источники финансирования ремонта</w:t>
      </w:r>
    </w:p>
    <w:p w:rsidR="00EF599A" w:rsidRDefault="00EF599A" w:rsidP="00EF599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Текущий ремонт</w:t>
      </w:r>
    </w:p>
    <w:p w:rsidR="00EF599A" w:rsidRDefault="00EF599A" w:rsidP="00EF599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Текущий ремонт общего имущества оплачивают наниматели и собственники жилых помещений, а также владельцы нежилых помещений. Деньги поступают непосредственно на счет управляющей компании в виде платы за содержание и ремонт общего имущества (ст. </w:t>
      </w:r>
      <w:hyperlink r:id="rId20" w:anchor="/document/99/901919946/ZA00MEM2NH/" w:tooltip="Статья 154. Структура платы за жилое помещение и коммунальные услуги" w:history="1">
        <w:r>
          <w:rPr>
            <w:rStyle w:val="a4"/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lang w:eastAsia="ru-RU"/>
          </w:rPr>
          <w:t>154</w:t>
        </w:r>
      </w:hyperlink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и </w:t>
      </w:r>
      <w:hyperlink r:id="rId21" w:anchor="/document/99/901919946/ZA00MG22NK/" w:tooltip="Статья 158. Расходы собственников помещений в многоквартирном доме" w:history="1">
        <w:r>
          <w:rPr>
            <w:rStyle w:val="a4"/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lang w:eastAsia="ru-RU"/>
          </w:rPr>
          <w:t>158</w:t>
        </w:r>
      </w:hyperlink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Жилищного кодекса РФ).</w:t>
      </w:r>
    </w:p>
    <w:p w:rsidR="00EF599A" w:rsidRDefault="00EF599A" w:rsidP="00EF599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2"/>
          <w:sz w:val="27"/>
          <w:szCs w:val="27"/>
          <w:lang w:eastAsia="ru-RU"/>
        </w:rPr>
        <w:t>Капитальный ремонт</w:t>
      </w:r>
    </w:p>
    <w:p w:rsidR="00EF599A" w:rsidRDefault="00EF599A" w:rsidP="00EF599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lastRenderedPageBreak/>
        <w:t>Собственники ежемесячно перечисляют взносы на капитальный ремонт, которые образуют фонд капитального ремонта. И от того, где формируется этот фонд, зависит и порядок финансирования будущего капитального ремонта.</w:t>
      </w:r>
    </w:p>
    <w:p w:rsidR="00EF599A" w:rsidRDefault="00EF599A" w:rsidP="00EF599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Если фонд сформирован на счете управляющей компании, то источником финансирования ремонта будут непосредственно взносы собственников. С этого счета управляющая компания рассчитывается за капитальный ремонт, проведенный собственными силами или с привлечением подрядчиков.</w:t>
      </w:r>
    </w:p>
    <w:p w:rsidR="00EF599A" w:rsidRDefault="00EF599A" w:rsidP="00EF599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При формировании фонда на счете регионального оператора порядок финансирования капитального ремонта следующий. Региональный оператор от своего имени заключает договор с подрядными организациями на проведение капитального ремонта. При этом подрядчиком может выступить и управляющая компания. В этом случае поступление денег управляющей компании от регионального оператора является ничем иным, как платой за выполненные работы по обычному договору подряда.</w:t>
      </w:r>
    </w:p>
    <w:p w:rsidR="00EF599A" w:rsidRDefault="00EF599A" w:rsidP="00EF599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Это следует из статей </w:t>
      </w:r>
      <w:hyperlink r:id="rId22" w:anchor="/document/99/901919946/ZA00MEM2NH/" w:tooltip="Статья 154. Структура платы за жилое помещение и коммунальные услуги" w:history="1">
        <w:r>
          <w:rPr>
            <w:rStyle w:val="a4"/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lang w:eastAsia="ru-RU"/>
          </w:rPr>
          <w:t>154</w:t>
        </w:r>
      </w:hyperlink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23" w:anchor="/document/99/901919946/ZA00MG22NK/" w:tooltip="Статья 158. Расходы собственников помещений в многоквартирном доме" w:history="1">
        <w:r>
          <w:rPr>
            <w:rStyle w:val="a4"/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lang w:eastAsia="ru-RU"/>
          </w:rPr>
          <w:t>158</w:t>
        </w:r>
      </w:hyperlink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24" w:anchor="/document/99/901919946/ZAP27RK3GE/" w:tooltip="Статья 170. Фонд капитального ремонта и способы формирования данного фонда..." w:history="1">
        <w:r>
          <w:rPr>
            <w:rStyle w:val="a4"/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lang w:eastAsia="ru-RU"/>
          </w:rPr>
          <w:t>170</w:t>
        </w:r>
      </w:hyperlink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25" w:anchor="/document/99/901919946/ZA00MCO2NA/" w:tooltip="Статья 171. Особенности уплаты взносов на капитальный ремонт..." w:history="1">
        <w:r>
          <w:rPr>
            <w:rStyle w:val="a4"/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lang w:eastAsia="ru-RU"/>
          </w:rPr>
          <w:t>171</w:t>
        </w:r>
      </w:hyperlink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26" w:anchor="/document/99/901919946/ZA00MKS2OV/" w:tooltip="Статья 174. Использование средств фонда капитального ремонта..." w:history="1">
        <w:r>
          <w:rPr>
            <w:rStyle w:val="a4"/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lang w:eastAsia="ru-RU"/>
          </w:rPr>
          <w:t>174</w:t>
        </w:r>
      </w:hyperlink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27" w:anchor="/document/99/901919946/ZA00M562MF/" w:tooltip="Статья 175. Специальный счет..." w:history="1">
        <w:r>
          <w:rPr>
            <w:rStyle w:val="a4"/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lang w:eastAsia="ru-RU"/>
          </w:rPr>
          <w:t>175</w:t>
        </w:r>
      </w:hyperlink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, </w:t>
      </w:r>
      <w:hyperlink r:id="rId28" w:anchor="/document/99/901919946/ZA00MEM2N8/" w:tooltip="Статья 180. Функции регионального оператора..." w:history="1">
        <w:r>
          <w:rPr>
            <w:rStyle w:val="a4"/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lang w:eastAsia="ru-RU"/>
          </w:rPr>
          <w:t>180–182</w:t>
        </w:r>
      </w:hyperlink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Жилищного кодекса РФ.</w:t>
      </w:r>
    </w:p>
    <w:p w:rsidR="00EF599A" w:rsidRDefault="00EF599A" w:rsidP="00EF599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Законодательством также предусмотрена возможность проводить капитальный ремонт за счет средств федерального, регионального или местного бюджетов (</w:t>
      </w:r>
      <w:hyperlink r:id="rId29" w:anchor="/document/99/901919946/XA00MA22MN/" w:tooltip="2) могут предоставлять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;" w:history="1">
        <w:r>
          <w:rPr>
            <w:rStyle w:val="a4"/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lang w:eastAsia="ru-RU"/>
          </w:rPr>
          <w:t>подп. 2 п. 1 ст. 165</w:t>
        </w:r>
      </w:hyperlink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и </w:t>
      </w:r>
      <w:hyperlink r:id="rId30" w:anchor="/document/99/901919946/XA00RQU2OI/" w:tooltip="2. Меры государственной поддержки,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..." w:history="1">
        <w:r>
          <w:rPr>
            <w:rStyle w:val="a4"/>
            <w:rFonts w:ascii="Times New Roman" w:eastAsia="Times New Roman" w:hAnsi="Times New Roman" w:cs="Times New Roman"/>
            <w:color w:val="01745C"/>
            <w:spacing w:val="-2"/>
            <w:sz w:val="27"/>
            <w:szCs w:val="27"/>
            <w:lang w:eastAsia="ru-RU"/>
          </w:rPr>
          <w:t>ч. 2 ст. 191</w:t>
        </w:r>
      </w:hyperlink>
      <w:r>
        <w:rPr>
          <w:rFonts w:ascii="Times New Roman" w:eastAsia="Times New Roman" w:hAnsi="Times New Roman" w:cs="Times New Roman"/>
          <w:color w:val="222222"/>
          <w:spacing w:val="-2"/>
          <w:sz w:val="27"/>
          <w:szCs w:val="27"/>
          <w:lang w:eastAsia="ru-RU"/>
        </w:rPr>
        <w:t> Жилищного кодекса РФ).</w:t>
      </w:r>
    </w:p>
    <w:p w:rsidR="00EF599A" w:rsidRDefault="00EF599A" w:rsidP="00EF599A">
      <w:pPr>
        <w:pStyle w:val="2"/>
        <w:spacing w:line="276" w:lineRule="auto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Сроки давности привлечения УО, ТСЖ, ЖСК к административной ответственности</w:t>
      </w:r>
    </w:p>
    <w:p w:rsidR="00EF599A" w:rsidRDefault="00EF599A" w:rsidP="00EF59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eastAsia="ru-RU"/>
        </w:rPr>
        <w:t>Общее правило</w:t>
      </w:r>
      <w:r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>: постановление по делу о правонарушении нельзя выносить по истечении двух месяцев — если дело рассматривает административный орган, по истечении трех месяцев — если дело рассматривает суд.</w:t>
      </w:r>
    </w:p>
    <w:p w:rsidR="00EF599A" w:rsidRDefault="00EF599A" w:rsidP="00EF59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Из этого правила есть исключения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когда срок давности составляет один, два или три года. Исключения указали в таблице ниже.</w:t>
      </w:r>
    </w:p>
    <w:p w:rsidR="00EF599A" w:rsidRDefault="00EF599A" w:rsidP="00EF59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 зависимости от нарушения различается дата, с которой нужно считать срок давности.</w:t>
      </w:r>
    </w:p>
    <w:p w:rsidR="00EF599A" w:rsidRDefault="00EF599A" w:rsidP="00EF599A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большинстве случаев — со дня, когда лицо совершило правонарушение (</w:t>
      </w:r>
      <w:hyperlink r:id="rId31" w:anchor="/document/99/901807667/ZA01F3C346/" w:tooltip="1. Постановление по делу об административном правонарушении не может быть вынесено по истечении двух месяцев (по делу об административном правонарушении, рассматриваемому судьей,..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ч. 1 ст. 4.5 КоАП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599A" w:rsidRDefault="00EF599A" w:rsidP="00EF599A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длящемся нарушении — со дня, когда административный орган обнаружил правонарушение (</w:t>
      </w:r>
      <w:hyperlink r:id="rId32" w:anchor="/document/99/901807667/ZA01V3S3CS/" w:tooltip="2. При длящемся административном правонарушении сроки, предусмотренные частью 1 настоящей статьи, начинают исчисляться со дня обнаружения административного правонарушения.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ч. 2 ст. 4.5 КоАП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599A" w:rsidRDefault="00EF599A" w:rsidP="00EF599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Таблица. Сферы законодательства, по которым срок давности составляет один, два или три года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39"/>
      </w:tblGrid>
      <w:tr w:rsidR="00EF599A" w:rsidTr="00EF5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599A" w:rsidRDefault="00EF59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Один год</w:t>
            </w:r>
          </w:p>
        </w:tc>
      </w:tr>
      <w:tr w:rsidR="00EF599A" w:rsidTr="00EF599A">
        <w:tc>
          <w:tcPr>
            <w:tcW w:w="0" w:type="auto"/>
            <w:vAlign w:val="center"/>
            <w:hideMark/>
          </w:tcPr>
          <w:p w:rsidR="00EF599A" w:rsidRDefault="00EF59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Правонарушения в сферах: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энергосбережения и повышения энергетической эффективности;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здоровья граждан;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потребителей;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регулирования цен (тарифов);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регулирования тарифов организаций коммунального комплекса;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электроэнергетики;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газоснабжения;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контрольно-кассовой техники;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 и природопользования;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санитарно-эпидемиологического благополучия населения;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 проведения государственного контроля (надзора), муниципального контроля и защиты прав юридических лиц и предпринимателей при осуществлении государственного контроля (надзора), муниципального контроля;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 водоотведения;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законодательства;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иммиграционных правил, правил пребывания (проживания) в России иностранных граждан и лиц без гражданства, правил привлечения к трудовой деятельности в России иностранных граждан и лиц без гражданства (в том числе иностранных работников);</w:t>
            </w:r>
          </w:p>
          <w:p w:rsidR="00EF599A" w:rsidRDefault="00EF59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управления, если не предоставить, исказить или несвоевременно предоставить в антимонопольный орган по требованию информацию для расчета штрафа</w:t>
            </w:r>
          </w:p>
        </w:tc>
      </w:tr>
      <w:tr w:rsidR="00EF599A" w:rsidTr="00EF599A">
        <w:tc>
          <w:tcPr>
            <w:tcW w:w="0" w:type="auto"/>
            <w:vAlign w:val="center"/>
            <w:hideMark/>
          </w:tcPr>
          <w:p w:rsidR="00EF599A" w:rsidRDefault="00EF59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lastRenderedPageBreak/>
              <w:t>Два года</w:t>
            </w:r>
          </w:p>
        </w:tc>
      </w:tr>
      <w:tr w:rsidR="00EF599A" w:rsidTr="00EF599A">
        <w:tc>
          <w:tcPr>
            <w:tcW w:w="0" w:type="auto"/>
            <w:vAlign w:val="center"/>
            <w:hideMark/>
          </w:tcPr>
          <w:p w:rsidR="00EF599A" w:rsidRDefault="00EF59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Нарушения в сфере:</w:t>
            </w:r>
          </w:p>
          <w:p w:rsidR="00EF599A" w:rsidRDefault="00EF59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законодательства о бухгалтерском учете</w:t>
            </w:r>
          </w:p>
        </w:tc>
      </w:tr>
      <w:tr w:rsidR="00EF599A" w:rsidTr="00EF599A">
        <w:tc>
          <w:tcPr>
            <w:tcW w:w="0" w:type="auto"/>
            <w:vAlign w:val="center"/>
            <w:hideMark/>
          </w:tcPr>
          <w:p w:rsidR="00EF599A" w:rsidRDefault="00EF59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>Три года</w:t>
            </w:r>
          </w:p>
        </w:tc>
      </w:tr>
      <w:tr w:rsidR="00EF599A" w:rsidTr="00EF599A">
        <w:tc>
          <w:tcPr>
            <w:tcW w:w="0" w:type="auto"/>
            <w:vAlign w:val="center"/>
          </w:tcPr>
          <w:p w:rsidR="00EF599A" w:rsidRDefault="00EF59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Нарушения в сферах:</w:t>
            </w:r>
          </w:p>
          <w:p w:rsidR="00EF599A" w:rsidRDefault="00EF59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налогов и сборов;</w:t>
            </w:r>
          </w:p>
          <w:p w:rsidR="00EF599A" w:rsidRDefault="00EF59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несостоятельности (банкротства)</w:t>
            </w:r>
          </w:p>
          <w:p w:rsidR="00EF599A" w:rsidRDefault="00EF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F599A" w:rsidRDefault="00EF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F599A" w:rsidRDefault="00EF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ru-RU"/>
              </w:rPr>
              <w:t>Законодатели установили, как считать срок давности для административной ответственности</w:t>
            </w:r>
          </w:p>
          <w:p w:rsidR="00EF599A" w:rsidRDefault="00EF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 25 апреля срок давности привлечения к административной ответственности будут исчислять со дня совершения правонарушения. Ранее такой порядок предусмотрен не был. Соответствующие изменения внесли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КоАПЗаконом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14.04.2023 № 122-ФЗ, они начнут действовать с 25 апреля. При длящемся административном правонарушении срок по-прежнему должны считать со дня, когда обнаружили нарушение.</w:t>
            </w:r>
          </w:p>
          <w:p w:rsidR="00EF599A" w:rsidRDefault="00EF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9A" w:rsidRDefault="00EF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уточнили, когда нельзя вынести постановление по делу об административном правонарушении:</w:t>
            </w:r>
          </w:p>
          <w:p w:rsidR="00EF599A" w:rsidRDefault="00EF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9A" w:rsidRDefault="00EF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60 календарных дней – со дня совершения правонарушения;</w:t>
            </w:r>
          </w:p>
          <w:p w:rsidR="00EF599A" w:rsidRDefault="00EF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истечении 90 календарных дней – если дело рассматривает судья.</w:t>
            </w:r>
          </w:p>
          <w:p w:rsidR="00EF599A" w:rsidRPr="00EF599A" w:rsidRDefault="00EF599A" w:rsidP="00EF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внесли во исполнение постановления Конституционного суда от 17.05.2022 №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П.</w:t>
            </w:r>
            <w:bookmarkStart w:id="0" w:name="_GoBack"/>
            <w:bookmarkEnd w:id="0"/>
          </w:p>
          <w:p w:rsidR="00EF599A" w:rsidRDefault="00EF5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lastRenderedPageBreak/>
              <w:t>Настоящий Информационный бюллетень подготовлен Региональным отраслевым объединением работодателей Ассоциацией организаций жилищно-коммунального хозяйства Орловской области для специалистов предприятий-членов этой некоммерческой организации с использованием публикаций электронных изданий ООО «МЦФР-пресс»,</w:t>
            </w:r>
          </w:p>
          <w:p w:rsidR="00EF599A" w:rsidRDefault="00EF5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 xml:space="preserve">а также информационных порталов «Информационная система Управление МКД» </w:t>
            </w:r>
          </w:p>
          <w:p w:rsidR="00EF599A" w:rsidRDefault="00EF5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и электронного журнала «Рос-Квартал» или Р-1.</w:t>
            </w:r>
          </w:p>
          <w:p w:rsidR="00EF599A" w:rsidRDefault="00EF5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г. Орёл</w:t>
            </w:r>
          </w:p>
          <w:p w:rsidR="00EF599A" w:rsidRDefault="00EF5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   май 2023 г.</w:t>
            </w:r>
          </w:p>
          <w:p w:rsidR="00EF599A" w:rsidRDefault="00EF599A">
            <w:pPr>
              <w:spacing w:before="100" w:beforeAutospacing="1" w:after="100" w:afterAutospacing="1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F599A" w:rsidRDefault="00EF5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EF599A" w:rsidRDefault="00EF599A" w:rsidP="00EF599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99A" w:rsidRDefault="00EF599A" w:rsidP="00EF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99A" w:rsidRDefault="00EF599A" w:rsidP="00EF59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3B2F7A" w:rsidRDefault="003B2F7A"/>
    <w:sectPr w:rsidR="003B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CF9"/>
    <w:multiLevelType w:val="multilevel"/>
    <w:tmpl w:val="2D0C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C3996"/>
    <w:multiLevelType w:val="hybridMultilevel"/>
    <w:tmpl w:val="535A0824"/>
    <w:lvl w:ilvl="0" w:tplc="50240E50">
      <w:start w:val="4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9279B2"/>
    <w:multiLevelType w:val="hybridMultilevel"/>
    <w:tmpl w:val="65E0D3D8"/>
    <w:lvl w:ilvl="0" w:tplc="C64A8074">
      <w:start w:val="2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087508A"/>
    <w:multiLevelType w:val="multilevel"/>
    <w:tmpl w:val="18C6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D0EC7"/>
    <w:multiLevelType w:val="hybridMultilevel"/>
    <w:tmpl w:val="296EBBB0"/>
    <w:lvl w:ilvl="0" w:tplc="EB92F022">
      <w:start w:val="1"/>
      <w:numFmt w:val="decimal"/>
      <w:lvlText w:val="%1."/>
      <w:lvlJc w:val="left"/>
      <w:pPr>
        <w:ind w:left="785" w:hanging="360"/>
      </w:pPr>
      <w:rPr>
        <w:sz w:val="40"/>
        <w:szCs w:val="4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DD82578"/>
    <w:multiLevelType w:val="multilevel"/>
    <w:tmpl w:val="606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32935"/>
    <w:multiLevelType w:val="multilevel"/>
    <w:tmpl w:val="0DE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500E0"/>
    <w:multiLevelType w:val="multilevel"/>
    <w:tmpl w:val="6D02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C0EA7"/>
    <w:multiLevelType w:val="hybridMultilevel"/>
    <w:tmpl w:val="FC3632C8"/>
    <w:lvl w:ilvl="0" w:tplc="05944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D24E3"/>
    <w:multiLevelType w:val="multilevel"/>
    <w:tmpl w:val="7FFC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9A"/>
    <w:rsid w:val="003B2F7A"/>
    <w:rsid w:val="00E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CD9F"/>
  <w15:chartTrackingRefBased/>
  <w15:docId w15:val="{4FE2D098-2ECA-4C91-82CC-A0B62A69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9A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59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EF59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5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umd.ru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mini.1umd.ru/" TargetMode="External"/><Relationship Id="rId26" Type="http://schemas.openxmlformats.org/officeDocument/2006/relationships/hyperlink" Target="https://mini.1um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i.1umd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yperlink" Target="https://mini.1umd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mini.1umd.ru/" TargetMode="External"/><Relationship Id="rId29" Type="http://schemas.openxmlformats.org/officeDocument/2006/relationships/hyperlink" Target="https://mini.1um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ini.1umd.ru/" TargetMode="External"/><Relationship Id="rId24" Type="http://schemas.openxmlformats.org/officeDocument/2006/relationships/hyperlink" Target="https://mini.1umd.ru/" TargetMode="External"/><Relationship Id="rId32" Type="http://schemas.openxmlformats.org/officeDocument/2006/relationships/hyperlink" Target="https://mini.1umd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hyperlink" Target="https://mini.1umd.ru/" TargetMode="External"/><Relationship Id="rId28" Type="http://schemas.openxmlformats.org/officeDocument/2006/relationships/hyperlink" Target="https://mini.1umd.ru/" TargetMode="External"/><Relationship Id="rId10" Type="http://schemas.openxmlformats.org/officeDocument/2006/relationships/hyperlink" Target="https://mini.1umd.ru/" TargetMode="External"/><Relationship Id="rId19" Type="http://schemas.openxmlformats.org/officeDocument/2006/relationships/hyperlink" Target="https://mini.1umd.ru/" TargetMode="External"/><Relationship Id="rId31" Type="http://schemas.openxmlformats.org/officeDocument/2006/relationships/hyperlink" Target="https://mini.1um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umd.ru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mini.1umd.ru/" TargetMode="External"/><Relationship Id="rId27" Type="http://schemas.openxmlformats.org/officeDocument/2006/relationships/hyperlink" Target="https://mini.1umd.ru/" TargetMode="External"/><Relationship Id="rId30" Type="http://schemas.openxmlformats.org/officeDocument/2006/relationships/hyperlink" Target="https://mini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2023-05-02T11:40:00Z</dcterms:created>
  <dcterms:modified xsi:type="dcterms:W3CDTF">2023-05-02T11:46:00Z</dcterms:modified>
</cp:coreProperties>
</file>